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466BA">
        <w:rPr>
          <w:rFonts w:asciiTheme="minorHAnsi" w:eastAsiaTheme="minorHAnsi" w:hAnsiTheme="minorHAnsi" w:cstheme="minorBidi"/>
          <w:b/>
          <w:sz w:val="20"/>
          <w:szCs w:val="20"/>
        </w:rPr>
        <w:t>RI.271.1.5.2022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0466BA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>
        <w:rPr>
          <w:rFonts w:asciiTheme="minorHAnsi" w:hAnsiTheme="minorHAnsi" w:cs="Times New Roman"/>
          <w:b/>
          <w:sz w:val="20"/>
          <w:szCs w:val="20"/>
        </w:rPr>
        <w:t>4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1F500E" w:rsidRPr="005853C7" w:rsidRDefault="001F500E" w:rsidP="001F500E">
      <w:pPr>
        <w:jc w:val="both"/>
        <w:rPr>
          <w:rFonts w:asciiTheme="minorHAnsi" w:hAnsiTheme="minorHAnsi"/>
          <w:bCs/>
          <w:i/>
          <w:iCs/>
          <w:sz w:val="16"/>
          <w:szCs w:val="16"/>
        </w:rPr>
      </w:pPr>
      <w:r w:rsidRPr="005853C7">
        <w:rPr>
          <w:rFonts w:asciiTheme="minorHAnsi" w:hAnsiTheme="minorHAnsi"/>
          <w:bCs/>
          <w:i/>
          <w:iCs/>
          <w:sz w:val="16"/>
          <w:szCs w:val="16"/>
        </w:rPr>
        <w:t xml:space="preserve">(Informacje zawarte w oświadczeniu stanowią </w:t>
      </w:r>
      <w:r w:rsidR="00625FDC">
        <w:rPr>
          <w:rFonts w:asciiTheme="minorHAnsi" w:hAnsiTheme="minorHAnsi"/>
          <w:bCs/>
          <w:i/>
          <w:iCs/>
          <w:sz w:val="16"/>
          <w:szCs w:val="16"/>
        </w:rPr>
        <w:t xml:space="preserve">wstępne </w:t>
      </w:r>
      <w:r w:rsidRPr="005853C7">
        <w:rPr>
          <w:rFonts w:asciiTheme="minorHAnsi" w:hAnsiTheme="minorHAnsi"/>
          <w:bCs/>
          <w:i/>
          <w:iCs/>
          <w:sz w:val="16"/>
          <w:szCs w:val="16"/>
        </w:rPr>
        <w:t>potwierdzenie, że Wykonawca nie podlega wykluczeniu oraz spełnia warunki udziału w postępowaniu)</w:t>
      </w:r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1F500E" w:rsidRPr="00625FDC" w:rsidRDefault="00437D31" w:rsidP="005853C7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C5001B" w:rsidRDefault="00C5001B" w:rsidP="005853C7"/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na: </w:t>
      </w:r>
    </w:p>
    <w:p w:rsidR="000466BA" w:rsidRPr="00561076" w:rsidRDefault="000466BA" w:rsidP="000466BA">
      <w:pPr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bCs/>
          <w:sz w:val="24"/>
          <w:szCs w:val="24"/>
        </w:rPr>
        <w:t>Zakup i dostawa laptopów</w:t>
      </w: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:</w:t>
      </w:r>
    </w:p>
    <w:p w:rsidR="000466BA" w:rsidRPr="00561076" w:rsidRDefault="000466BA" w:rsidP="000466BA">
      <w:pPr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Część A – 40 laptopów</w:t>
      </w:r>
      <w:r w:rsidRPr="00890AA6">
        <w:rPr>
          <w:rFonts w:asciiTheme="minorHAnsi" w:hAnsiTheme="minorHAnsi" w:cstheme="minorHAnsi"/>
          <w:b/>
          <w:vertAlign w:val="superscript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0466BA" w:rsidRPr="00561076" w:rsidRDefault="000466BA" w:rsidP="000466BA">
      <w:pPr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Część B – 16 laptopów</w:t>
      </w:r>
      <w:r w:rsidRPr="00890AA6">
        <w:rPr>
          <w:rFonts w:asciiTheme="minorHAnsi" w:hAnsiTheme="minorHAnsi" w:cstheme="minorHAnsi"/>
          <w:b/>
          <w:vertAlign w:val="superscript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8568E9" w:rsidRDefault="008568E9" w:rsidP="00625FDC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bookmarkStart w:id="0" w:name="_GoBack"/>
      <w:bookmarkEnd w:id="0"/>
    </w:p>
    <w:p w:rsidR="00625FDC" w:rsidRDefault="00625FDC" w:rsidP="00625FDC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>am, że na dzień składania ofert</w:t>
      </w:r>
      <w:r w:rsidRPr="00D50175">
        <w:rPr>
          <w:rFonts w:asciiTheme="minorHAnsi" w:hAnsiTheme="minorHAnsi"/>
          <w:b/>
          <w:iCs/>
          <w:sz w:val="20"/>
          <w:szCs w:val="20"/>
        </w:rPr>
        <w:t>: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 </w:t>
      </w:r>
    </w:p>
    <w:p w:rsidR="008568E9" w:rsidRPr="00D50175" w:rsidRDefault="008568E9" w:rsidP="00625FDC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25FDC" w:rsidP="00625FDC">
      <w:pPr>
        <w:spacing w:after="0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a) </w:t>
      </w:r>
      <w:r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pkt. 1-6 ustawy </w:t>
      </w:r>
      <w:proofErr w:type="spellStart"/>
      <w:r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25FDC">
        <w:rPr>
          <w:rFonts w:asciiTheme="minorHAnsi" w:hAnsiTheme="minorHAnsi"/>
          <w:iCs/>
          <w:sz w:val="20"/>
          <w:szCs w:val="20"/>
        </w:rPr>
        <w:t>,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625FDC" w:rsidRDefault="00625FDC" w:rsidP="00625FDC">
      <w:pPr>
        <w:spacing w:after="0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b) </w:t>
      </w:r>
      <w:r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przesłanek, wskazanych art. 109 ust. 4 </w:t>
      </w:r>
      <w:proofErr w:type="spellStart"/>
      <w:r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</w:p>
    <w:p w:rsidR="00625FDC" w:rsidRDefault="00625FDC" w:rsidP="00625FDC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c) </w:t>
      </w:r>
      <w:r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</w:rPr>
        <w:t>.</w:t>
      </w:r>
    </w:p>
    <w:p w:rsidR="008568E9" w:rsidRDefault="00625FDC" w:rsidP="000466BA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1,2 i 5 lub art. 109 ust. 1 pkt 4  ustawy </w:t>
      </w:r>
      <w:proofErr w:type="spellStart"/>
      <w:r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Pr="005853C7">
        <w:rPr>
          <w:rFonts w:asciiTheme="minorHAnsi" w:hAnsiTheme="minorHAnsi"/>
          <w:i/>
          <w:sz w:val="16"/>
          <w:szCs w:val="16"/>
        </w:rPr>
        <w:t>)</w:t>
      </w:r>
      <w:r w:rsidRPr="005853C7">
        <w:rPr>
          <w:rFonts w:asciiTheme="minorHAnsi" w:hAnsiTheme="minorHAnsi"/>
          <w:i/>
          <w:sz w:val="20"/>
          <w:szCs w:val="20"/>
        </w:rPr>
        <w:t>.</w:t>
      </w:r>
      <w:r w:rsidRPr="005853C7">
        <w:rPr>
          <w:rFonts w:asciiTheme="minorHAnsi" w:hAnsiTheme="minorHAnsi"/>
          <w:sz w:val="20"/>
          <w:szCs w:val="20"/>
        </w:rPr>
        <w:t xml:space="preserve"> </w:t>
      </w:r>
    </w:p>
    <w:p w:rsidR="00625FDC" w:rsidRDefault="00625FDC" w:rsidP="000466BA">
      <w:pPr>
        <w:jc w:val="both"/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625FDC" w:rsidRDefault="00625FDC" w:rsidP="005853C7"/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BA" w:rsidRDefault="000466BA" w:rsidP="000466BA">
      <w:pPr>
        <w:spacing w:after="0" w:line="240" w:lineRule="auto"/>
      </w:pPr>
      <w:r>
        <w:separator/>
      </w:r>
    </w:p>
  </w:endnote>
  <w:endnote w:type="continuationSeparator" w:id="0">
    <w:p w:rsidR="000466BA" w:rsidRDefault="000466BA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BA" w:rsidRDefault="000466BA" w:rsidP="000466BA">
      <w:pPr>
        <w:spacing w:after="0" w:line="240" w:lineRule="auto"/>
      </w:pPr>
      <w:r>
        <w:separator/>
      </w:r>
    </w:p>
  </w:footnote>
  <w:footnote w:type="continuationSeparator" w:id="0">
    <w:p w:rsidR="000466BA" w:rsidRDefault="000466BA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BA" w:rsidRDefault="000466BA">
    <w:pPr>
      <w:pStyle w:val="Nagwek"/>
    </w:pPr>
    <w:r w:rsidRPr="00991909">
      <w:rPr>
        <w:noProof/>
        <w:lang w:eastAsia="pl-PL"/>
      </w:rPr>
      <w:drawing>
        <wp:inline distT="0" distB="0" distL="0" distR="0" wp14:anchorId="46678922" wp14:editId="0D04BA31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466BA"/>
    <w:rsid w:val="001F500E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845829"/>
    <w:rsid w:val="008568E9"/>
    <w:rsid w:val="0087703F"/>
    <w:rsid w:val="00B6164B"/>
    <w:rsid w:val="00C5001B"/>
    <w:rsid w:val="00C73AFE"/>
    <w:rsid w:val="00D50175"/>
    <w:rsid w:val="00D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07A7F-04F4-4FF3-9AB3-B112F01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5</cp:revision>
  <dcterms:created xsi:type="dcterms:W3CDTF">2021-12-28T20:46:00Z</dcterms:created>
  <dcterms:modified xsi:type="dcterms:W3CDTF">2022-04-10T12:54:00Z</dcterms:modified>
</cp:coreProperties>
</file>