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E8" w:rsidRPr="005A09A8" w:rsidRDefault="00060CE8" w:rsidP="00060CE8">
      <w:pPr>
        <w:keepNext/>
        <w:spacing w:line="360" w:lineRule="auto"/>
        <w:outlineLvl w:val="0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Załącznik nr 1</w:t>
      </w:r>
    </w:p>
    <w:p w:rsidR="00060CE8" w:rsidRPr="005A09A8" w:rsidRDefault="00060CE8" w:rsidP="00060CE8">
      <w:pPr>
        <w:keepNext/>
        <w:spacing w:line="360" w:lineRule="auto"/>
        <w:outlineLvl w:val="0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  SPECYFIKACJA  TECHNICZNA WYKONANIA I ODBIORU ROBÓT</w:t>
      </w:r>
    </w:p>
    <w:p w:rsidR="00060CE8" w:rsidRPr="005A09A8" w:rsidRDefault="00060CE8" w:rsidP="00060CE8">
      <w:pPr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okresowych przeglądów placów zabaw znajdujących się na terenie Gminy Mińsk Mazowiecki</w:t>
      </w:r>
    </w:p>
    <w:p w:rsidR="00060CE8" w:rsidRPr="005A09A8" w:rsidRDefault="00060CE8" w:rsidP="00060C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Przedmiot robót: </w:t>
      </w:r>
    </w:p>
    <w:p w:rsidR="00060CE8" w:rsidRPr="005A09A8" w:rsidRDefault="00060CE8" w:rsidP="00060C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5A09A8">
        <w:rPr>
          <w:rFonts w:ascii="Times New Roman" w:eastAsia="Arial Unicode MS" w:hAnsi="Times New Roman" w:cs="Times New Roman"/>
          <w:lang w:eastAsia="pl-PL"/>
        </w:rPr>
        <w:t>Sprawdzenie stanu technicznego i przydatności do użytkowania obiektu budowlanego wraz                      z instalacjami i urządzeniami, estetyki obiektu budowlanego oraz jego otoczenia.</w:t>
      </w:r>
    </w:p>
    <w:p w:rsidR="00060CE8" w:rsidRPr="005A09A8" w:rsidRDefault="00060CE8" w:rsidP="00060C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5A09A8">
        <w:rPr>
          <w:rFonts w:ascii="Times New Roman" w:eastAsia="Arial Unicode MS" w:hAnsi="Times New Roman" w:cs="Times New Roman"/>
          <w:lang w:eastAsia="pl-PL"/>
        </w:rPr>
        <w:t>Sporządzenie protokołów z przeprowadzonej kontroli wg załączonych wzorów.</w:t>
      </w:r>
    </w:p>
    <w:p w:rsidR="00060CE8" w:rsidRPr="005A09A8" w:rsidRDefault="00060CE8" w:rsidP="00060C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Dokonanie odpowiednich wpisów do książki obiektu po zrealizowanym przeglądzie bądź                     w przypadku jej braku zakup i założenie książki obiektu budowlanego.</w:t>
      </w:r>
    </w:p>
    <w:p w:rsidR="00060CE8" w:rsidRPr="005A09A8" w:rsidRDefault="00060CE8" w:rsidP="00060CE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060CE8" w:rsidRPr="005A09A8" w:rsidRDefault="00060CE8" w:rsidP="00060CE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Uwagi do zadania: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Coroczna kontrola mającą ocenić ogólny poziom bezpieczeństwa wyposażenia, stanu fundamentów, nawierzchni, np. wpływu warunków atmosferycznych, śladów rozkładu lub korozji, a także możliwych zmian w poziomie bezpieczeństwa na skutek wykonanych napraw, dodanych lub wymienionych części składowych. Wskazanie działań do podjęcia mających na celu uzyskanie właściwego poziomu bezpieczeństwa oraz estetyki placu zabaw </w:t>
      </w:r>
    </w:p>
    <w:p w:rsidR="00060CE8" w:rsidRPr="005A09A8" w:rsidRDefault="00060CE8" w:rsidP="00060CE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Termin wykonania zamówienia: </w:t>
      </w:r>
      <w:r w:rsidRPr="005A09A8">
        <w:rPr>
          <w:rFonts w:ascii="Times New Roman" w:hAnsi="Times New Roman" w:cs="Times New Roman"/>
          <w:b/>
          <w:bCs/>
          <w:lang w:eastAsia="pl-PL"/>
        </w:rPr>
        <w:t>1</w:t>
      </w: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 miesią</w:t>
      </w:r>
      <w:r w:rsidRPr="005A09A8">
        <w:rPr>
          <w:rFonts w:ascii="Times New Roman" w:hAnsi="Times New Roman" w:cs="Times New Roman"/>
          <w:b/>
          <w:bCs/>
          <w:lang w:eastAsia="pl-PL"/>
        </w:rPr>
        <w:t>c</w:t>
      </w: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 od daty podpisania umowy</w:t>
      </w:r>
    </w:p>
    <w:p w:rsidR="00060CE8" w:rsidRPr="005A09A8" w:rsidRDefault="00060CE8" w:rsidP="00060CE8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lang w:eastAsia="pl-PL"/>
        </w:rPr>
      </w:pPr>
    </w:p>
    <w:p w:rsidR="00060CE8" w:rsidRPr="005A09A8" w:rsidRDefault="00060CE8" w:rsidP="00060C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Podstawa prawna :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Prawo budowlane, Ustawa z dnia 7.07.1994 r. Prawo budowlane (</w:t>
      </w:r>
      <w:proofErr w:type="spellStart"/>
      <w:r w:rsidRPr="005A09A8">
        <w:rPr>
          <w:rFonts w:ascii="Times New Roman" w:eastAsia="Calibri" w:hAnsi="Times New Roman" w:cs="Times New Roman"/>
          <w:lang w:eastAsia="pl-PL"/>
        </w:rPr>
        <w:t>Dz.U</w:t>
      </w:r>
      <w:proofErr w:type="spellEnd"/>
      <w:r w:rsidRPr="005A09A8">
        <w:rPr>
          <w:rFonts w:ascii="Times New Roman" w:eastAsia="Calibri" w:hAnsi="Times New Roman" w:cs="Times New Roman"/>
          <w:lang w:eastAsia="pl-PL"/>
        </w:rPr>
        <w:t xml:space="preserve">. 2010 nr 243 poz.1623 z </w:t>
      </w:r>
      <w:proofErr w:type="spellStart"/>
      <w:r w:rsidRPr="005A09A8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5A09A8">
        <w:rPr>
          <w:rFonts w:ascii="Times New Roman" w:eastAsia="Calibri" w:hAnsi="Times New Roman" w:cs="Times New Roman"/>
          <w:lang w:eastAsia="pl-PL"/>
        </w:rPr>
        <w:t>. zm.).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Rozporządzenie Ministra Spraw Wewnętrznych i Administracji z 16.08.1999r. w sprawie warunków technicznych użytkowania budynków mieszkalnych ( </w:t>
      </w:r>
      <w:proofErr w:type="spellStart"/>
      <w:r w:rsidRPr="005A09A8">
        <w:rPr>
          <w:rFonts w:ascii="Times New Roman" w:eastAsia="Calibri" w:hAnsi="Times New Roman" w:cs="Times New Roman"/>
          <w:lang w:eastAsia="pl-PL"/>
        </w:rPr>
        <w:t>Dz.U</w:t>
      </w:r>
      <w:proofErr w:type="spellEnd"/>
      <w:r w:rsidRPr="005A09A8">
        <w:rPr>
          <w:rFonts w:ascii="Times New Roman" w:eastAsia="Calibri" w:hAnsi="Times New Roman" w:cs="Times New Roman"/>
          <w:lang w:eastAsia="pl-PL"/>
        </w:rPr>
        <w:t xml:space="preserve"> 1999. Nr 74, poz.836).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Rozporządzenie Ministra Infrastruktury z dnia 12 kwietnia 2002 r. w sprawie warunków technicznych, jakim powinny odpowiadać budynki i ich usytuowanie. ( </w:t>
      </w:r>
      <w:proofErr w:type="spellStart"/>
      <w:r w:rsidRPr="005A09A8">
        <w:rPr>
          <w:rFonts w:ascii="Times New Roman" w:eastAsia="Calibri" w:hAnsi="Times New Roman" w:cs="Times New Roman"/>
          <w:lang w:eastAsia="pl-PL"/>
        </w:rPr>
        <w:t>Dz.U</w:t>
      </w:r>
      <w:proofErr w:type="spellEnd"/>
      <w:r w:rsidRPr="005A09A8">
        <w:rPr>
          <w:rFonts w:ascii="Times New Roman" w:eastAsia="Calibri" w:hAnsi="Times New Roman" w:cs="Times New Roman"/>
          <w:lang w:eastAsia="pl-PL"/>
        </w:rPr>
        <w:t xml:space="preserve"> 2002. Nr 75, poz.690).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Rozporządzenie Ministra Transportu i Budownictwa  z 28 kwietnia  2006 r. w sprawie samodzielnych funkcji technicznych w budownictwie ( Dz. U.2006 Nr 83, poz. 578 ).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Rozporządzenie Ministra Gospodarki Pracy i Polityki Społecznej z 28 kwietnia 2003 r. w sprawie szczegółowych zasad stwierdzenia posiadania kwalifikacji przez osoby zajmujące się eksploatacją urządzeń, instalacji i sieci ( </w:t>
      </w:r>
      <w:proofErr w:type="spellStart"/>
      <w:r w:rsidRPr="005A09A8">
        <w:rPr>
          <w:rFonts w:ascii="Times New Roman" w:eastAsia="Calibri" w:hAnsi="Times New Roman" w:cs="Times New Roman"/>
          <w:lang w:eastAsia="pl-PL"/>
        </w:rPr>
        <w:t>Dz.U</w:t>
      </w:r>
      <w:proofErr w:type="spellEnd"/>
      <w:r w:rsidRPr="005A09A8">
        <w:rPr>
          <w:rFonts w:ascii="Times New Roman" w:eastAsia="Calibri" w:hAnsi="Times New Roman" w:cs="Times New Roman"/>
          <w:lang w:eastAsia="pl-PL"/>
        </w:rPr>
        <w:t>. Nr 89 poz. 828 ).</w:t>
      </w:r>
    </w:p>
    <w:p w:rsidR="00060CE8" w:rsidRPr="005A09A8" w:rsidRDefault="00060CE8" w:rsidP="00060CE8">
      <w:pPr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Rozporządzenie Ministra Infrastruktury z dn. 3 lipca 2003 r. w sprawie książki obiektu budowlanego ( </w:t>
      </w:r>
      <w:proofErr w:type="spellStart"/>
      <w:r w:rsidRPr="005A09A8">
        <w:rPr>
          <w:rFonts w:ascii="Times New Roman" w:eastAsia="Calibri" w:hAnsi="Times New Roman" w:cs="Times New Roman"/>
          <w:lang w:eastAsia="pl-PL"/>
        </w:rPr>
        <w:t>Dz.U</w:t>
      </w:r>
      <w:proofErr w:type="spellEnd"/>
      <w:r w:rsidRPr="005A09A8">
        <w:rPr>
          <w:rFonts w:ascii="Times New Roman" w:eastAsia="Calibri" w:hAnsi="Times New Roman" w:cs="Times New Roman"/>
          <w:lang w:eastAsia="pl-PL"/>
        </w:rPr>
        <w:t>. Nr 120, poz. 1134).</w:t>
      </w:r>
    </w:p>
    <w:p w:rsidR="00060CE8" w:rsidRPr="005A09A8" w:rsidRDefault="00060CE8" w:rsidP="00060C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Normy : </w:t>
      </w:r>
    </w:p>
    <w:p w:rsidR="00060CE8" w:rsidRPr="005A09A8" w:rsidRDefault="00060CE8" w:rsidP="00060CE8">
      <w:pPr>
        <w:spacing w:after="75"/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Normy odnoszące się do bezpieczeństwa placów zabaw obejmują nie tylko wymagania dotyczące samych urządzeń, ale także zagadnienia związane z eksploatacją i zarządzaniem placów, wymogami dotyczącymi nawierzchni amortyzujących itp. Normy te nie są dokumentami obligatoryjnymi, jednak stanowią </w:t>
      </w:r>
      <w:r w:rsidRPr="005A09A8">
        <w:rPr>
          <w:rFonts w:ascii="Times New Roman" w:eastAsia="Calibri" w:hAnsi="Times New Roman" w:cs="Times New Roman"/>
          <w:b/>
          <w:bCs/>
          <w:lang w:eastAsia="pl-PL"/>
        </w:rPr>
        <w:t>wytyczne do zapewnienia wymaganego poziomu bezpieczeństwa</w:t>
      </w:r>
      <w:r w:rsidRPr="005A09A8">
        <w:rPr>
          <w:rFonts w:ascii="Times New Roman" w:eastAsia="Calibri" w:hAnsi="Times New Roman" w:cs="Times New Roman"/>
          <w:lang w:eastAsia="pl-PL"/>
        </w:rPr>
        <w:t xml:space="preserve">. Dlatego też są one dokumentami odniesienia stosowanymi przez Inspektorów Nadzoru Budowlanego w trakcie kontroli placów, a także Inspektorów Inspekcji Handlowej, powołanych na wniosek Urzędu Ochrony Konkurencji i Konsumentów. Poza wymogami norm z grupy 1176 i 1177, place zabaw powinny spełniać wymagania prawa budowlanego oraz ustawy o ogólnym bezpieczeństwie produktów z dnia 12 grudnia 2003r. </w:t>
      </w:r>
    </w:p>
    <w:p w:rsidR="00060CE8" w:rsidRPr="005A09A8" w:rsidRDefault="00060CE8" w:rsidP="00060CE8">
      <w:pPr>
        <w:spacing w:after="75" w:line="312" w:lineRule="atLeast"/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lastRenderedPageBreak/>
        <w:t xml:space="preserve">Poniżej zamieszczony został </w:t>
      </w:r>
      <w:r w:rsidRPr="005A09A8">
        <w:rPr>
          <w:rFonts w:ascii="Times New Roman" w:eastAsia="Calibri" w:hAnsi="Times New Roman" w:cs="Times New Roman"/>
          <w:b/>
          <w:bCs/>
          <w:lang w:eastAsia="pl-PL"/>
        </w:rPr>
        <w:t>wykaz aktualnych norm</w:t>
      </w:r>
      <w:r w:rsidRPr="005A09A8">
        <w:rPr>
          <w:rFonts w:ascii="Times New Roman" w:eastAsia="Calibri" w:hAnsi="Times New Roman" w:cs="Times New Roman"/>
          <w:lang w:eastAsia="pl-PL"/>
        </w:rPr>
        <w:t xml:space="preserve"> odnoszących się do placów zabaw. Od dnia 20.08.2009 wprowadzony zostaje nowy zestaw norm z grupy 1176 i 1177, który stanowi tłumaczenie norm wydanych w roku 2008. W wykazie zamieszone zostały również normy powołane, do których odwołują się normy 1176, 1177.</w:t>
      </w:r>
    </w:p>
    <w:p w:rsidR="00060CE8" w:rsidRPr="005A09A8" w:rsidRDefault="00060CE8" w:rsidP="00060CE8">
      <w:pPr>
        <w:spacing w:after="75" w:line="312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PN-EN 1176-1:2009</w:t>
      </w:r>
      <w:r w:rsidRPr="005A09A8">
        <w:rPr>
          <w:rFonts w:ascii="Times New Roman" w:eastAsia="Calibri" w:hAnsi="Times New Roman" w:cs="Times New Roman"/>
          <w:lang w:eastAsia="pl-PL"/>
        </w:rPr>
        <w:t xml:space="preserve">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Wyposażenie placów zabaw i nawierzchnie -- Część 1: Ogólne wymagania bezpieczeństwa i metody badań. 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Zastępuje: PN-EN 1176-1:2008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1176-2:2009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Wyposażenie placów zabaw i nawierzchnie -- Część 2: Dodatkowe wymagania bezpieczeństwa i metody badań huśtawek.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Zastępuje: PN-EN 1176-2:2008 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PN-EN 1176-3:2009</w:t>
      </w:r>
      <w:r w:rsidRPr="005A09A8">
        <w:rPr>
          <w:rFonts w:ascii="Times New Roman" w:eastAsia="Calibri" w:hAnsi="Times New Roman" w:cs="Times New Roman"/>
          <w:lang w:eastAsia="pl-PL"/>
        </w:rPr>
        <w:t xml:space="preserve">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Wyposażenie placów zabaw i nawierzchnie -- Część 3: Dodatkowe wymagania bezpieczeństwa i metody badań zjeżdżalni.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Zastępuje: PN-EN 1176-3:2008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PN-EN 1176-4:2009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Wyposażenie placów zabaw i nawierzchnie -- Część 4: Dodatkowe wymagania bezpieczeństwa i metody badań kolejek linowych. 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Zastępuje: PN-EN 1176-4:2008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PN-EN 1176-5:2009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Wyposażenie placów zabaw i nawierzchnie -- Część 5: Dodatkowe wymagania bezpieczeństwa i metody badań karuzeli.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Zastępuje: PN-EN 1176-5:2008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PN-EN 1176-6:2009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Wyposażenie placów zabaw i nawierzchnie -- Część 6: Dodatkowe wymagania bezpieczeństwa i metody badań urządzeń kołyszących.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Zastępuje: PN-EN 1176-6:2008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PN-EN 1176-7:2009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Wyposażenie placów zabaw i nawierzchnie -- Część 7: Wytyczne instalowania, sprawdzania, konserwacji i eksploatacji. 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lastRenderedPageBreak/>
        <w:t>Zastępuje: PN-EN 1176-7:2008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PN-EN 1176-10:2009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Wyposażenie placów zabaw i nawierzchnie -- Część 10: Całkowicie obudowany sprzęt do zabaw.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Zastępuje: PN-EN 1176-10:2008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PN-EN 1176-11:2009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Wyposażenie placów zabaw i nawierzchnie -- Część 11: Dodatkowe wymagania bezpieczeństwa i metody badań przestrzennych konstrukcji sieciowych.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Zastępuje: PN-EN 1176-11:2008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PN-EN 1177:2009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Nawierzchnie placów zabaw amortyzujące upadki -- Wyznaczanie krytycznej wysokości upadku.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Zastępuje: PN-EN 1177:2008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u w:val="single"/>
          <w:lang w:eastAsia="pl-PL"/>
        </w:rPr>
        <w:t>Normy powołane: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335-2:2007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 xml:space="preserve">Trwałość drewna i materiałów drewnopochodnych -- Definicja klas użytkowania -- Część 2: Zastosowanie do drewna litego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335-2:2006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350-2:2000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 xml:space="preserve">Trwałość drewna i materiałów drewnopochodnych -- Naturalna trwałość drewna litego -- Wytyczne dotyczące naturalnej trwałości i podatności na nasycanie wybranych gatunków drewna mających znaczenie w Europie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 PN-EN 351-1:2007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 xml:space="preserve">Trwałość drewna i materiałów drewnopochodnych -- Drewno lite zabezpieczone środkiem ochrony -- Część 1: Klasyfikacja wnikania i retencji środka ochrony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351-1:1999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636:2005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 xml:space="preserve">Sklejka -- Wymagania techniczne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636:2004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1991-1-2:2006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proofErr w:type="spellStart"/>
      <w:r w:rsidRPr="005A09A8">
        <w:rPr>
          <w:rFonts w:ascii="Times New Roman" w:eastAsia="Calibri" w:hAnsi="Times New Roman" w:cs="Times New Roman"/>
          <w:bCs/>
          <w:lang w:eastAsia="pl-PL"/>
        </w:rPr>
        <w:t>Eurokod</w:t>
      </w:r>
      <w:proofErr w:type="spellEnd"/>
      <w:r w:rsidRPr="005A09A8">
        <w:rPr>
          <w:rFonts w:ascii="Times New Roman" w:eastAsia="Calibri" w:hAnsi="Times New Roman" w:cs="Times New Roman"/>
          <w:bCs/>
          <w:lang w:eastAsia="pl-PL"/>
        </w:rPr>
        <w:t xml:space="preserve"> 1: Oddziaływania na konstrukcje -- Część 1-2: Oddziaływania ogólne -- Oddziaływania na konstrukcje w warunkach pożaru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1991-1-2:2005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lastRenderedPageBreak/>
        <w:t xml:space="preserve">PN-EN 1991-1-3:2005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proofErr w:type="spellStart"/>
      <w:r w:rsidRPr="005A09A8">
        <w:rPr>
          <w:rFonts w:ascii="Times New Roman" w:eastAsia="Calibri" w:hAnsi="Times New Roman" w:cs="Times New Roman"/>
          <w:bCs/>
          <w:lang w:eastAsia="pl-PL"/>
        </w:rPr>
        <w:t>Eurokod</w:t>
      </w:r>
      <w:proofErr w:type="spellEnd"/>
      <w:r w:rsidRPr="005A09A8">
        <w:rPr>
          <w:rFonts w:ascii="Times New Roman" w:eastAsia="Calibri" w:hAnsi="Times New Roman" w:cs="Times New Roman"/>
          <w:bCs/>
          <w:lang w:eastAsia="pl-PL"/>
        </w:rPr>
        <w:t xml:space="preserve"> 1 -- Oddziaływania na konstrukcje -- Część 1-3: Oddziaływania ogólne -- Obciążenie śniegiem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 PN-EN 1991-1-4:2008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proofErr w:type="spellStart"/>
      <w:r w:rsidRPr="005A09A8">
        <w:rPr>
          <w:rFonts w:ascii="Times New Roman" w:eastAsia="Calibri" w:hAnsi="Times New Roman" w:cs="Times New Roman"/>
          <w:bCs/>
          <w:lang w:eastAsia="pl-PL"/>
        </w:rPr>
        <w:t>Eurokod</w:t>
      </w:r>
      <w:proofErr w:type="spellEnd"/>
      <w:r w:rsidRPr="005A09A8">
        <w:rPr>
          <w:rFonts w:ascii="Times New Roman" w:eastAsia="Calibri" w:hAnsi="Times New Roman" w:cs="Times New Roman"/>
          <w:bCs/>
          <w:lang w:eastAsia="pl-PL"/>
        </w:rPr>
        <w:t xml:space="preserve"> 1: Oddziaływania na konstrukcje -- Część 1-4: Oddziaływania ogólne -- Oddziaływania wiatru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1991-1-4:2005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13411-3+A1:2008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>Zakończenia lin stalowych -- Bezpieczeństwo -- Część 3: Tuleje i ich zaciskanie (</w:t>
      </w:r>
      <w:proofErr w:type="spellStart"/>
      <w:r w:rsidRPr="005A09A8">
        <w:rPr>
          <w:rFonts w:ascii="Times New Roman" w:eastAsia="Calibri" w:hAnsi="Times New Roman" w:cs="Times New Roman"/>
          <w:bCs/>
          <w:lang w:eastAsia="pl-PL"/>
        </w:rPr>
        <w:t>oryg</w:t>
      </w:r>
      <w:proofErr w:type="spellEnd"/>
      <w:r w:rsidRPr="005A09A8">
        <w:rPr>
          <w:rFonts w:ascii="Times New Roman" w:eastAsia="Calibri" w:hAnsi="Times New Roman" w:cs="Times New Roman"/>
          <w:bCs/>
          <w:lang w:eastAsia="pl-PL"/>
        </w:rPr>
        <w:t xml:space="preserve">.)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13411-3:2007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13411-5+A1:2008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>Zakończenia lin stalowych -- Bezpieczeństwo -- Część 5: Zaciski linowe kabłąkowe (</w:t>
      </w:r>
      <w:proofErr w:type="spellStart"/>
      <w:r w:rsidRPr="005A09A8">
        <w:rPr>
          <w:rFonts w:ascii="Times New Roman" w:eastAsia="Calibri" w:hAnsi="Times New Roman" w:cs="Times New Roman"/>
          <w:bCs/>
          <w:lang w:eastAsia="pl-PL"/>
        </w:rPr>
        <w:t>oryg</w:t>
      </w:r>
      <w:proofErr w:type="spellEnd"/>
      <w:r w:rsidRPr="005A09A8">
        <w:rPr>
          <w:rFonts w:ascii="Times New Roman" w:eastAsia="Calibri" w:hAnsi="Times New Roman" w:cs="Times New Roman"/>
          <w:bCs/>
          <w:lang w:eastAsia="pl-PL"/>
        </w:rPr>
        <w:t xml:space="preserve">.)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13411-5:2005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ISO 2307:2007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 xml:space="preserve">Liny włókienne -- Wyznaczanie niektórych właściwości fizycznych i mechanicznych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ISO 2307:2005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ISO 9554:2007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 xml:space="preserve">Liny włókienne -- Wymagania ogólne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ISO 9554:2005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ISO/IEC 17025:2005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 xml:space="preserve">Ogólne wymagania dotyczące kompetencji laboratoriów badawczych i wzorcujących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ISO/IEC 17025:2005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PN-EN 818-1+A1:2008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>Łańcuch o ogniwach krótkich do podnoszenia ładunków -- Bezpieczeństwo -- Część 1: Ogólne warunki odbioru (</w:t>
      </w:r>
      <w:proofErr w:type="spellStart"/>
      <w:r w:rsidRPr="005A09A8">
        <w:rPr>
          <w:rFonts w:ascii="Times New Roman" w:eastAsia="Calibri" w:hAnsi="Times New Roman" w:cs="Times New Roman"/>
          <w:bCs/>
          <w:lang w:eastAsia="pl-PL"/>
        </w:rPr>
        <w:t>oryg</w:t>
      </w:r>
      <w:proofErr w:type="spellEnd"/>
      <w:r w:rsidRPr="005A09A8">
        <w:rPr>
          <w:rFonts w:ascii="Times New Roman" w:eastAsia="Calibri" w:hAnsi="Times New Roman" w:cs="Times New Roman"/>
          <w:bCs/>
          <w:lang w:eastAsia="pl-PL"/>
        </w:rPr>
        <w:t xml:space="preserve">.) </w:t>
      </w:r>
    </w:p>
    <w:p w:rsidR="00060CE8" w:rsidRPr="005A09A8" w:rsidRDefault="00060CE8" w:rsidP="00060CE8">
      <w:pPr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bCs/>
          <w:lang w:eastAsia="pl-PL"/>
        </w:rPr>
        <w:t>Zastępuje: PN-EN 818-1:1999</w:t>
      </w:r>
    </w:p>
    <w:p w:rsidR="00060CE8" w:rsidRPr="005A09A8" w:rsidRDefault="00060CE8" w:rsidP="00060CE8">
      <w:pPr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lang w:eastAsia="pl-PL"/>
        </w:rPr>
        <w:t xml:space="preserve">VI. </w:t>
      </w:r>
      <w:r w:rsidRPr="005A09A8">
        <w:rPr>
          <w:rFonts w:ascii="Times New Roman" w:eastAsia="Calibri" w:hAnsi="Times New Roman" w:cs="Times New Roman"/>
          <w:b/>
          <w:bCs/>
          <w:lang w:eastAsia="pl-PL"/>
        </w:rPr>
        <w:t>Obiekty objęte okresową kontrolą.</w:t>
      </w:r>
    </w:p>
    <w:p w:rsidR="00547E96" w:rsidRDefault="00060CE8" w:rsidP="00060CE8">
      <w:pPr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 xml:space="preserve">Place zabaw </w:t>
      </w:r>
      <w:r w:rsidR="005A09A8">
        <w:rPr>
          <w:rFonts w:ascii="Times New Roman" w:eastAsia="Calibri" w:hAnsi="Times New Roman" w:cs="Times New Roman"/>
          <w:bCs/>
          <w:lang w:eastAsia="pl-PL"/>
        </w:rPr>
        <w:t xml:space="preserve">i siłownie plenerowe </w:t>
      </w:r>
      <w:r w:rsidRPr="005A09A8">
        <w:rPr>
          <w:rFonts w:ascii="Times New Roman" w:eastAsia="Calibri" w:hAnsi="Times New Roman" w:cs="Times New Roman"/>
          <w:bCs/>
          <w:lang w:eastAsia="pl-PL"/>
        </w:rPr>
        <w:t>znajdujące się</w:t>
      </w:r>
    </w:p>
    <w:p w:rsidR="00060CE8" w:rsidRPr="005A09A8" w:rsidRDefault="00060CE8" w:rsidP="00060CE8">
      <w:pPr>
        <w:rPr>
          <w:rFonts w:ascii="Times New Roman" w:eastAsia="Calibri" w:hAnsi="Times New Roman" w:cs="Times New Roman"/>
          <w:bCs/>
          <w:lang w:eastAsia="pl-PL"/>
        </w:rPr>
      </w:pPr>
      <w:r w:rsidRPr="005A09A8">
        <w:rPr>
          <w:rFonts w:ascii="Times New Roman" w:eastAsia="Calibri" w:hAnsi="Times New Roman" w:cs="Times New Roman"/>
          <w:bCs/>
          <w:lang w:eastAsia="pl-PL"/>
        </w:rPr>
        <w:t xml:space="preserve"> na terenach gminnych wg załączonego wykazu.</w:t>
      </w:r>
    </w:p>
    <w:p w:rsidR="00060CE8" w:rsidRPr="005A09A8" w:rsidRDefault="00060CE8" w:rsidP="00060CE8">
      <w:pPr>
        <w:rPr>
          <w:rFonts w:ascii="Times New Roman" w:eastAsia="Calibri" w:hAnsi="Times New Roman" w:cs="Times New Roman"/>
          <w:bCs/>
          <w:lang w:eastAsia="pl-PL"/>
        </w:rPr>
      </w:pPr>
    </w:p>
    <w:p w:rsidR="00060CE8" w:rsidRPr="005A09A8" w:rsidRDefault="00060CE8" w:rsidP="00060CE8">
      <w:pPr>
        <w:rPr>
          <w:rFonts w:ascii="Times New Roman" w:eastAsia="Calibri" w:hAnsi="Times New Roman" w:cs="Times New Roman"/>
          <w:b/>
          <w:bCs/>
          <w:lang w:eastAsia="pl-PL"/>
        </w:rPr>
      </w:pPr>
      <w:r w:rsidRPr="005A09A8">
        <w:rPr>
          <w:rFonts w:ascii="Times New Roman" w:eastAsia="Calibri" w:hAnsi="Times New Roman" w:cs="Times New Roman"/>
          <w:b/>
          <w:lang w:eastAsia="pl-PL"/>
        </w:rPr>
        <w:lastRenderedPageBreak/>
        <w:t>VII</w:t>
      </w:r>
      <w:r w:rsidRPr="005A09A8">
        <w:rPr>
          <w:rFonts w:ascii="Times New Roman" w:eastAsia="Calibri" w:hAnsi="Times New Roman" w:cs="Times New Roman"/>
          <w:lang w:eastAsia="pl-PL"/>
        </w:rPr>
        <w:t xml:space="preserve">. </w:t>
      </w:r>
      <w:r w:rsidRPr="005A09A8">
        <w:rPr>
          <w:rFonts w:ascii="Times New Roman" w:eastAsia="Calibri" w:hAnsi="Times New Roman" w:cs="Times New Roman"/>
          <w:b/>
          <w:bCs/>
          <w:lang w:eastAsia="pl-PL"/>
        </w:rPr>
        <w:t>Opis czynności wykonania .</w:t>
      </w:r>
    </w:p>
    <w:p w:rsidR="00060CE8" w:rsidRPr="005A09A8" w:rsidRDefault="00060CE8" w:rsidP="00060CE8">
      <w:pPr>
        <w:numPr>
          <w:ilvl w:val="12"/>
          <w:numId w:val="0"/>
        </w:numPr>
        <w:tabs>
          <w:tab w:val="left" w:pos="284"/>
        </w:tabs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Wykonawca jest zobowiązany:</w:t>
      </w:r>
    </w:p>
    <w:p w:rsidR="00060CE8" w:rsidRPr="005A09A8" w:rsidRDefault="00060CE8" w:rsidP="00060CE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>dokonać odpowiedniego wpisu do książki obiektu budowlanego po realizacji przeglądu, a w przypadku jej braku zakup i założenie książki obiektu budowlanego,</w:t>
      </w:r>
    </w:p>
    <w:p w:rsidR="00060CE8" w:rsidRPr="005A09A8" w:rsidRDefault="00060CE8" w:rsidP="00060CE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przekazać Zamawiającemu protokoły z przeprowadzonych kontroli. Protokoły winny być przekazane w formie pisemnej wydrukowanej w 1 egzemplarzu oraz elektronicznej zapisanej w pliku możliwym do edycji oraz w formie zeskanowanej z podpisami i pieczątkami osób wykonujących zadanie,  w obu przypadkach na płycie </w:t>
      </w:r>
      <w:proofErr w:type="spellStart"/>
      <w:r w:rsidRPr="005A09A8">
        <w:rPr>
          <w:rFonts w:ascii="Times New Roman" w:eastAsia="Calibri" w:hAnsi="Times New Roman" w:cs="Times New Roman"/>
          <w:lang w:eastAsia="pl-PL"/>
        </w:rPr>
        <w:t>CD-R</w:t>
      </w:r>
      <w:proofErr w:type="spellEnd"/>
      <w:r w:rsidRPr="005A09A8">
        <w:rPr>
          <w:rFonts w:ascii="Times New Roman" w:eastAsia="Calibri" w:hAnsi="Times New Roman" w:cs="Times New Roman"/>
          <w:lang w:eastAsia="pl-PL"/>
        </w:rPr>
        <w:t>. Załącznikami do protokołów będzie dokumentacja fotografie wykonana cyfrowo – w kolorze – zapisane w formacie JPEG – minimum 2 obejmujące cały plac zabaw</w:t>
      </w:r>
      <w:r w:rsidR="005A09A8">
        <w:rPr>
          <w:rFonts w:ascii="Times New Roman" w:eastAsia="Calibri" w:hAnsi="Times New Roman" w:cs="Times New Roman"/>
          <w:lang w:eastAsia="pl-PL"/>
        </w:rPr>
        <w:t xml:space="preserve"> lub siłownie plenerową </w:t>
      </w:r>
      <w:r w:rsidRPr="005A09A8">
        <w:rPr>
          <w:rFonts w:ascii="Times New Roman" w:eastAsia="Calibri" w:hAnsi="Times New Roman" w:cs="Times New Roman"/>
          <w:lang w:eastAsia="pl-PL"/>
        </w:rPr>
        <w:t>, po jednej dla każdego z urządzeń oraz detali urządzeń w przypadku potrzeby udokumentowania uszkodzenia,</w:t>
      </w:r>
    </w:p>
    <w:p w:rsidR="00060CE8" w:rsidRPr="005A09A8" w:rsidRDefault="00060CE8" w:rsidP="00060CE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A09A8">
        <w:rPr>
          <w:rFonts w:ascii="Times New Roman" w:eastAsia="Calibri" w:hAnsi="Times New Roman" w:cs="Times New Roman"/>
          <w:lang w:eastAsia="pl-PL"/>
        </w:rPr>
        <w:t xml:space="preserve">wykonać zestawienie zbiorcze w Excelu dla wszystkich placów obejmujące zalecenia z przeglądu. </w:t>
      </w:r>
    </w:p>
    <w:p w:rsidR="00060CE8" w:rsidRPr="000A4DB0" w:rsidRDefault="00060CE8" w:rsidP="00060CE8">
      <w:pPr>
        <w:numPr>
          <w:ilvl w:val="12"/>
          <w:numId w:val="0"/>
        </w:numPr>
        <w:tabs>
          <w:tab w:val="left" w:pos="284"/>
        </w:tabs>
        <w:ind w:left="284" w:hanging="104"/>
        <w:rPr>
          <w:rFonts w:ascii="Calibri" w:eastAsia="Calibri" w:hAnsi="Calibri" w:cs="Times New Roman"/>
          <w:color w:val="FF0000"/>
          <w:lang w:eastAsia="pl-PL"/>
        </w:rPr>
      </w:pPr>
    </w:p>
    <w:p w:rsidR="00060CE8" w:rsidRPr="005A09A8" w:rsidRDefault="00060CE8" w:rsidP="005A09A8">
      <w:pPr>
        <w:spacing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060CE8">
        <w:rPr>
          <w:rFonts w:ascii="Calibri" w:eastAsia="Calibri" w:hAnsi="Calibri" w:cs="Times New Roman"/>
          <w:b/>
          <w:lang w:eastAsia="pl-PL"/>
        </w:rPr>
        <w:t xml:space="preserve"> </w:t>
      </w:r>
      <w:r w:rsidRPr="005A09A8">
        <w:rPr>
          <w:rFonts w:ascii="Times New Roman" w:eastAsia="Calibri" w:hAnsi="Times New Roman" w:cs="Times New Roman"/>
          <w:b/>
          <w:lang w:eastAsia="pl-PL"/>
        </w:rPr>
        <w:t>VIII.</w:t>
      </w:r>
      <w:r w:rsidRPr="005A09A8">
        <w:rPr>
          <w:rFonts w:ascii="Times New Roman" w:eastAsia="Calibri" w:hAnsi="Times New Roman" w:cs="Times New Roman"/>
          <w:b/>
          <w:bCs/>
          <w:lang w:eastAsia="pl-PL"/>
        </w:rPr>
        <w:t xml:space="preserve"> Odbiór prac</w:t>
      </w:r>
    </w:p>
    <w:p w:rsidR="005A09A8" w:rsidRPr="005A09A8" w:rsidRDefault="005A09A8" w:rsidP="005A09A8">
      <w:pPr>
        <w:numPr>
          <w:ilvl w:val="0"/>
          <w:numId w:val="4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A09A8">
        <w:rPr>
          <w:rFonts w:ascii="Times New Roman" w:eastAsia="Calibri" w:hAnsi="Times New Roman" w:cs="Times New Roman"/>
        </w:rPr>
        <w:t>Strony zgodnie postanawiają, że będą stosowane następujące rodzaje odbiorów robót: odbiory końcowe.</w:t>
      </w:r>
    </w:p>
    <w:p w:rsidR="005A09A8" w:rsidRPr="005A09A8" w:rsidRDefault="005A09A8" w:rsidP="005A09A8">
      <w:pPr>
        <w:numPr>
          <w:ilvl w:val="0"/>
          <w:numId w:val="4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A09A8">
        <w:rPr>
          <w:rFonts w:ascii="Times New Roman" w:eastAsia="Calibri" w:hAnsi="Times New Roman" w:cs="Times New Roman"/>
        </w:rPr>
        <w:t>Wykonawca zgłosi Zamawiającemu gotowość do odbioru końcowego.</w:t>
      </w:r>
    </w:p>
    <w:p w:rsidR="005A09A8" w:rsidRPr="005A09A8" w:rsidRDefault="005A09A8" w:rsidP="005A09A8">
      <w:pPr>
        <w:numPr>
          <w:ilvl w:val="0"/>
          <w:numId w:val="4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A09A8">
        <w:rPr>
          <w:rFonts w:ascii="Times New Roman" w:eastAsia="Calibri" w:hAnsi="Times New Roman" w:cs="Times New Roman"/>
        </w:rPr>
        <w:t xml:space="preserve">Podstawą zgłoszenia przez Wykonawcę gotowości do odbioru końcowego, będzie faktyczne wykonanie robót, </w:t>
      </w:r>
    </w:p>
    <w:p w:rsidR="005A09A8" w:rsidRPr="002A09D3" w:rsidRDefault="005A09A8" w:rsidP="002A09D3">
      <w:pPr>
        <w:numPr>
          <w:ilvl w:val="0"/>
          <w:numId w:val="4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A09D3">
        <w:rPr>
          <w:rFonts w:ascii="Times New Roman" w:eastAsia="Calibri" w:hAnsi="Times New Roman" w:cs="Times New Roman"/>
        </w:rPr>
        <w:t>Wraz ze zgłoszeniem do odbioru końcowego Wykonawca przekaże Zamawiającemu następujące dokumenty:</w:t>
      </w:r>
      <w:r w:rsidR="002A09D3" w:rsidRPr="002A09D3">
        <w:rPr>
          <w:rFonts w:ascii="Times New Roman" w:eastAsia="Calibri" w:hAnsi="Times New Roman" w:cs="Times New Roman"/>
        </w:rPr>
        <w:t xml:space="preserve"> </w:t>
      </w:r>
      <w:r w:rsidRPr="002A09D3">
        <w:rPr>
          <w:rFonts w:ascii="Times New Roman" w:hAnsi="Times New Roman" w:cs="Times New Roman"/>
        </w:rPr>
        <w:t xml:space="preserve">Protokoły z wykonanych przeglądów wraz uzupełnionymi dziennikami kontroli </w:t>
      </w:r>
    </w:p>
    <w:p w:rsidR="005A09A8" w:rsidRPr="005A09A8" w:rsidRDefault="005A09A8" w:rsidP="005A09A8">
      <w:pPr>
        <w:numPr>
          <w:ilvl w:val="0"/>
          <w:numId w:val="4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A09A8">
        <w:rPr>
          <w:rFonts w:ascii="Times New Roman" w:eastAsia="Calibri" w:hAnsi="Times New Roman" w:cs="Times New Roman"/>
        </w:rPr>
        <w:t xml:space="preserve">Zamawiający </w:t>
      </w:r>
      <w:r w:rsidR="002A09D3">
        <w:rPr>
          <w:rFonts w:ascii="Times New Roman" w:eastAsia="Calibri" w:hAnsi="Times New Roman" w:cs="Times New Roman"/>
        </w:rPr>
        <w:t>sprawdzi dokumentacje</w:t>
      </w:r>
      <w:r w:rsidRPr="005A09A8">
        <w:rPr>
          <w:rFonts w:ascii="Times New Roman" w:eastAsia="Calibri" w:hAnsi="Times New Roman" w:cs="Times New Roman"/>
        </w:rPr>
        <w:t xml:space="preserve"> w terminie do 7 dni roboczych od daty zawiadomienia go o osiągnięciu gotowości do odbioru końcowego.</w:t>
      </w:r>
    </w:p>
    <w:p w:rsidR="005A09A8" w:rsidRPr="005A09A8" w:rsidRDefault="005A09A8" w:rsidP="005A09A8">
      <w:pPr>
        <w:numPr>
          <w:ilvl w:val="0"/>
          <w:numId w:val="4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A09A8">
        <w:rPr>
          <w:rFonts w:ascii="Times New Roman" w:eastAsia="Calibri" w:hAnsi="Times New Roman" w:cs="Times New Roman"/>
        </w:rPr>
        <w:t>Zamawiający zobowiązany jest do dokonania lub odmowy dokonania odbioru końcowego, w terminie 14 dni od dnia rozpoczęcia tego odbioru.</w:t>
      </w:r>
    </w:p>
    <w:p w:rsidR="005A09A8" w:rsidRPr="005A09A8" w:rsidRDefault="005A09A8" w:rsidP="005A09A8">
      <w:pPr>
        <w:numPr>
          <w:ilvl w:val="0"/>
          <w:numId w:val="4"/>
        </w:numPr>
        <w:tabs>
          <w:tab w:val="clear" w:pos="463"/>
          <w:tab w:val="num" w:pos="426"/>
          <w:tab w:val="left" w:pos="90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A09A8">
        <w:rPr>
          <w:rFonts w:ascii="Times New Roman" w:eastAsia="Calibri" w:hAnsi="Times New Roman" w:cs="Times New Roman"/>
        </w:rPr>
        <w:t>Za datę wykonania przez Wykonawcę zobowiązania wynikającego z niniejszej Umowy, uznaje się datę odbioru, stwierdzoną w protokole odbioru końcowego.</w:t>
      </w:r>
    </w:p>
    <w:p w:rsidR="005A09A8" w:rsidRPr="005A09A8" w:rsidRDefault="005A09A8" w:rsidP="005A09A8">
      <w:pPr>
        <w:numPr>
          <w:ilvl w:val="0"/>
          <w:numId w:val="4"/>
        </w:numPr>
        <w:tabs>
          <w:tab w:val="clear" w:pos="463"/>
          <w:tab w:val="num" w:pos="426"/>
          <w:tab w:val="left" w:pos="90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A09A8">
        <w:rPr>
          <w:rFonts w:ascii="Times New Roman" w:eastAsia="Calibri" w:hAnsi="Times New Roman" w:cs="Times New Roman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5A09A8" w:rsidRPr="00904CEA" w:rsidRDefault="005A09A8" w:rsidP="005A09A8">
      <w:pPr>
        <w:numPr>
          <w:ilvl w:val="0"/>
          <w:numId w:val="4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904CEA">
        <w:rPr>
          <w:rFonts w:ascii="Times New Roman" w:eastAsia="Calibri" w:hAnsi="Times New Roman" w:cs="Times New Roman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947215" w:rsidRDefault="00947215" w:rsidP="005A09A8">
      <w:pPr>
        <w:spacing w:line="240" w:lineRule="auto"/>
      </w:pPr>
    </w:p>
    <w:sectPr w:rsidR="00947215" w:rsidSect="00947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40FCD"/>
    <w:multiLevelType w:val="hybridMultilevel"/>
    <w:tmpl w:val="EFEA74BC"/>
    <w:lvl w:ilvl="0" w:tplc="846A3F1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C1F5C"/>
    <w:multiLevelType w:val="hybridMultilevel"/>
    <w:tmpl w:val="300819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A36A32"/>
    <w:multiLevelType w:val="hybridMultilevel"/>
    <w:tmpl w:val="EAB23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0CE8"/>
    <w:rsid w:val="00060CE8"/>
    <w:rsid w:val="002A09D3"/>
    <w:rsid w:val="00547E96"/>
    <w:rsid w:val="005A09A8"/>
    <w:rsid w:val="006D69AA"/>
    <w:rsid w:val="00811169"/>
    <w:rsid w:val="00904CEA"/>
    <w:rsid w:val="00947215"/>
    <w:rsid w:val="00992E65"/>
    <w:rsid w:val="00A5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09A8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Kesner</dc:creator>
  <cp:keywords/>
  <dc:description/>
  <cp:lastModifiedBy>Marta Kesner</cp:lastModifiedBy>
  <cp:revision>2</cp:revision>
  <cp:lastPrinted>2017-07-11T08:51:00Z</cp:lastPrinted>
  <dcterms:created xsi:type="dcterms:W3CDTF">2017-07-11T08:52:00Z</dcterms:created>
  <dcterms:modified xsi:type="dcterms:W3CDTF">2017-07-11T08:52:00Z</dcterms:modified>
</cp:coreProperties>
</file>